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288EA" w14:textId="77777777" w:rsidR="00B01959" w:rsidRPr="00430307" w:rsidRDefault="00B01959">
      <w:pPr>
        <w:ind w:left="-540"/>
        <w:jc w:val="both"/>
        <w:rPr>
          <w:lang w:val="en-US"/>
        </w:rPr>
      </w:pPr>
    </w:p>
    <w:p w14:paraId="4A7B3F07" w14:textId="77777777" w:rsidR="00B01959" w:rsidRDefault="00430307">
      <w:pPr>
        <w:autoSpaceDE w:val="0"/>
        <w:ind w:firstLine="540"/>
        <w:jc w:val="center"/>
        <w:rPr>
          <w:b/>
        </w:rPr>
      </w:pPr>
      <w:r>
        <w:rPr>
          <w:b/>
        </w:rPr>
        <w:t>ДОГОВОР О ЗАДАТКЕ № ________</w:t>
      </w:r>
    </w:p>
    <w:p w14:paraId="752DBBBE" w14:textId="77777777" w:rsidR="00B01959" w:rsidRDefault="00B01959">
      <w:pPr>
        <w:autoSpaceDE w:val="0"/>
        <w:ind w:firstLine="540"/>
        <w:jc w:val="both"/>
      </w:pPr>
    </w:p>
    <w:p w14:paraId="76885DCF" w14:textId="77777777" w:rsidR="00B01959" w:rsidRDefault="00430307">
      <w:pPr>
        <w:tabs>
          <w:tab w:val="left" w:pos="7200"/>
        </w:tabs>
        <w:autoSpaceDE w:val="0"/>
        <w:jc w:val="both"/>
      </w:pPr>
      <w:r>
        <w:t>г. </w:t>
      </w:r>
      <w:r>
        <w:t>Москва</w:t>
      </w:r>
      <w:r>
        <w:tab/>
      </w:r>
      <w:r>
        <w:t>«___» ______ 202</w:t>
      </w:r>
      <w:r>
        <w:t>6</w:t>
      </w:r>
      <w:r>
        <w:t> года</w:t>
      </w:r>
      <w:r>
        <w:br/>
      </w:r>
    </w:p>
    <w:p w14:paraId="6883BCB7" w14:textId="77777777" w:rsidR="00B01959" w:rsidRDefault="00430307">
      <w:pPr>
        <w:autoSpaceDE w:val="0"/>
        <w:ind w:firstLine="567"/>
        <w:jc w:val="both"/>
      </w:pPr>
      <w:r>
        <w:rPr>
          <w:shd w:val="clear" w:color="auto" w:fill="FFFFFF"/>
        </w:rPr>
        <w:t>Конкурсный</w:t>
      </w:r>
      <w:r>
        <w:rPr>
          <w:shd w:val="clear" w:color="auto" w:fill="FFFFFF"/>
        </w:rPr>
        <w:t xml:space="preserve"> управляющий </w:t>
      </w:r>
      <w:r>
        <w:rPr>
          <w:shd w:val="clear" w:color="auto" w:fill="FFFFFF"/>
        </w:rPr>
        <w:t>ООО «</w:t>
      </w:r>
      <w:r>
        <w:rPr>
          <w:shd w:val="clear" w:color="auto" w:fill="FFFFFF"/>
        </w:rPr>
        <w:t>КОМПЛЕКТ</w:t>
      </w:r>
      <w:r>
        <w:rPr>
          <w:shd w:val="clear" w:color="auto" w:fill="FFFFFF"/>
        </w:rPr>
        <w:t xml:space="preserve"> ПРО</w:t>
      </w:r>
      <w:r>
        <w:rPr>
          <w:shd w:val="clear" w:color="auto" w:fill="FFFFFF"/>
        </w:rPr>
        <w:t xml:space="preserve">» (ИНН: </w:t>
      </w:r>
      <w:r>
        <w:rPr>
          <w:shd w:val="clear" w:color="auto" w:fill="FFFFFF"/>
        </w:rPr>
        <w:t>9701001834</w:t>
      </w:r>
      <w:r>
        <w:rPr>
          <w:shd w:val="clear" w:color="auto" w:fill="FFFFFF"/>
        </w:rPr>
        <w:t xml:space="preserve">, ОГРН: </w:t>
      </w:r>
      <w:r>
        <w:rPr>
          <w:shd w:val="clear" w:color="auto" w:fill="FFFFFF"/>
        </w:rPr>
        <w:t>1157746672665</w:t>
      </w:r>
      <w:r>
        <w:rPr>
          <w:shd w:val="clear" w:color="auto" w:fill="FFFFFF"/>
        </w:rPr>
        <w:t xml:space="preserve">, адрес: </w:t>
      </w:r>
      <w:r>
        <w:rPr>
          <w:shd w:val="clear" w:color="auto" w:fill="FFFFFF"/>
        </w:rPr>
        <w:t>105082, Москва, наб. Рубцовская, д. 3, стр. 1, пом. I, ком. 31А</w:t>
      </w:r>
      <w:r>
        <w:rPr>
          <w:shd w:val="clear" w:color="auto" w:fill="FFFFFF"/>
        </w:rPr>
        <w:t>)</w:t>
      </w:r>
      <w:r>
        <w:rPr>
          <w:shd w:val="clear" w:color="auto" w:fill="FFFFFF"/>
        </w:rPr>
        <w:t xml:space="preserve"> </w:t>
      </w:r>
      <w:proofErr w:type="spellStart"/>
      <w:r>
        <w:t>Гирчев</w:t>
      </w:r>
      <w:proofErr w:type="spellEnd"/>
      <w:r>
        <w:t xml:space="preserve"> Никола</w:t>
      </w:r>
      <w:r>
        <w:t>й</w:t>
      </w:r>
      <w:r>
        <w:t xml:space="preserve"> Николаевич (ИНН 519054027118, СНИЛС 124-817-811 60</w:t>
      </w:r>
      <w:r>
        <w:rPr>
          <w:shd w:val="clear" w:color="auto" w:fill="FFFFFF"/>
        </w:rPr>
        <w:t xml:space="preserve">, </w:t>
      </w:r>
      <w:r>
        <w:t>адрес для направления корреспонденции КУ: 197350, Санкт-Петербург, а/я 26</w:t>
      </w:r>
      <w:r>
        <w:rPr>
          <w:shd w:val="clear" w:color="auto" w:fill="FFFFFF"/>
        </w:rPr>
        <w:t>), действующ</w:t>
      </w:r>
      <w:r>
        <w:rPr>
          <w:shd w:val="clear" w:color="auto" w:fill="FFFFFF"/>
        </w:rPr>
        <w:t>ий</w:t>
      </w:r>
      <w:r>
        <w:rPr>
          <w:shd w:val="clear" w:color="auto" w:fill="FFFFFF"/>
        </w:rPr>
        <w:t xml:space="preserve"> на основании </w:t>
      </w:r>
      <w:r>
        <w:rPr>
          <w:shd w:val="clear" w:color="auto" w:fill="FFFFFF"/>
        </w:rPr>
        <w:t>Решения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Арбитражного суда города </w:t>
      </w:r>
      <w:r>
        <w:rPr>
          <w:shd w:val="clear" w:color="auto" w:fill="FFFFFF"/>
        </w:rPr>
        <w:t>Москвы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от </w:t>
      </w:r>
      <w:r>
        <w:rPr>
          <w:shd w:val="clear" w:color="auto" w:fill="FFFFFF"/>
        </w:rPr>
        <w:t>23</w:t>
      </w:r>
      <w:r>
        <w:rPr>
          <w:shd w:val="clear" w:color="auto" w:fill="FFFFFF"/>
        </w:rPr>
        <w:t>.</w:t>
      </w:r>
      <w:r>
        <w:rPr>
          <w:shd w:val="clear" w:color="auto" w:fill="FFFFFF"/>
        </w:rPr>
        <w:t>11</w:t>
      </w:r>
      <w:r>
        <w:rPr>
          <w:shd w:val="clear" w:color="auto" w:fill="FFFFFF"/>
        </w:rPr>
        <w:t>.202</w:t>
      </w:r>
      <w:r>
        <w:rPr>
          <w:shd w:val="clear" w:color="auto" w:fill="FFFFFF"/>
        </w:rPr>
        <w:t>3</w:t>
      </w:r>
      <w:r>
        <w:rPr>
          <w:shd w:val="clear" w:color="auto" w:fill="FFFFFF"/>
        </w:rPr>
        <w:t xml:space="preserve"> по делу № А</w:t>
      </w:r>
      <w:r>
        <w:rPr>
          <w:shd w:val="clear" w:color="auto" w:fill="FFFFFF"/>
        </w:rPr>
        <w:t>40</w:t>
      </w:r>
      <w:r>
        <w:rPr>
          <w:shd w:val="clear" w:color="auto" w:fill="FFFFFF"/>
        </w:rPr>
        <w:t>-</w:t>
      </w:r>
      <w:r>
        <w:rPr>
          <w:shd w:val="clear" w:color="auto" w:fill="FFFFFF"/>
        </w:rPr>
        <w:t>286731</w:t>
      </w:r>
      <w:r>
        <w:rPr>
          <w:shd w:val="clear" w:color="auto" w:fill="FFFFFF"/>
        </w:rPr>
        <w:t>/202</w:t>
      </w:r>
      <w:r>
        <w:rPr>
          <w:shd w:val="clear" w:color="auto" w:fill="FFFFFF"/>
        </w:rPr>
        <w:t>2</w:t>
      </w:r>
      <w:r>
        <w:rPr>
          <w:shd w:val="clear" w:color="auto" w:fill="FFFFFF"/>
        </w:rPr>
        <w:t>, имену</w:t>
      </w:r>
      <w:r>
        <w:t>ем</w:t>
      </w:r>
      <w:r>
        <w:t>ый</w:t>
      </w:r>
      <w:r>
        <w:t xml:space="preserve"> в дальнейшем «</w:t>
      </w:r>
      <w:r>
        <w:rPr>
          <w:b/>
        </w:rPr>
        <w:t>Организатор Торгов</w:t>
      </w:r>
      <w:r>
        <w:t>», с одной стороны, и претендент на участие в торгах по продаже имущества ООО «</w:t>
      </w:r>
      <w:r>
        <w:t>КОМПЛЕКТ</w:t>
      </w:r>
      <w:r>
        <w:t xml:space="preserve"> ПРО</w:t>
      </w:r>
      <w:r>
        <w:t xml:space="preserve">» </w:t>
      </w:r>
      <w:r>
        <w:t>________________________________________________________________________________</w:t>
      </w:r>
    </w:p>
    <w:p w14:paraId="20EBB5B0" w14:textId="77777777" w:rsidR="00B01959" w:rsidRDefault="00430307">
      <w:pPr>
        <w:autoSpaceDE w:val="0"/>
        <w:jc w:val="both"/>
      </w:pPr>
      <w:r>
        <w:rPr>
          <w:b/>
        </w:rPr>
        <w:t>_______________________________________________________________________________</w:t>
      </w:r>
      <w:r>
        <w:t>, присоединившийся к настоящему договору, именуемый в дальнейшем «</w:t>
      </w:r>
      <w:r>
        <w:rPr>
          <w:b/>
        </w:rPr>
        <w:t>Претендент</w:t>
      </w:r>
      <w:r>
        <w:t xml:space="preserve">», с другой стороны, именуемые совместно </w:t>
      </w:r>
      <w:r>
        <w:rPr>
          <w:b/>
          <w:bCs/>
        </w:rPr>
        <w:t>«Стороны»</w:t>
      </w:r>
      <w:r>
        <w:t xml:space="preserve">, в соответствии с требованиями </w:t>
      </w:r>
      <w:proofErr w:type="spellStart"/>
      <w:r>
        <w:t>ст.ст</w:t>
      </w:r>
      <w:proofErr w:type="spellEnd"/>
      <w:r>
        <w:t>. 380, 381, 428 ГК РФ, заключили настоящий Договор (далее – Договор) о нижеследующем:</w:t>
      </w:r>
    </w:p>
    <w:p w14:paraId="0DA5E86C" w14:textId="77777777" w:rsidR="00B01959" w:rsidRDefault="00B01959">
      <w:pPr>
        <w:autoSpaceDE w:val="0"/>
        <w:jc w:val="both"/>
      </w:pPr>
    </w:p>
    <w:p w14:paraId="30D235A7" w14:textId="77777777" w:rsidR="00B01959" w:rsidRDefault="00430307">
      <w:pPr>
        <w:autoSpaceDE w:val="0"/>
        <w:ind w:firstLine="567"/>
        <w:jc w:val="both"/>
      </w:pPr>
      <w:r>
        <w:t>1. В соответствии с условиями Договора Претендент на участие в торгах по продаже имущества ООО «</w:t>
      </w:r>
      <w:r>
        <w:t>КОМПЛЕКТ</w:t>
      </w:r>
      <w:r>
        <w:t xml:space="preserve"> ПРО</w:t>
      </w:r>
      <w:r>
        <w:t xml:space="preserve">» включенного в состав Лота № 1 </w:t>
      </w:r>
      <w:r>
        <w:t>посредством</w:t>
      </w:r>
      <w:r>
        <w:t xml:space="preserve"> публичного предложения </w:t>
      </w:r>
      <w:r>
        <w:t>(далее – Торги), объявление о которых было опубликовано в ЕФРСБ от _________, объявление №____________, перечисляет денежные средства в размере ________________ (_______________________________________________________) рублей ___</w:t>
      </w:r>
      <w:r>
        <w:t>_</w:t>
      </w:r>
      <w:r>
        <w:t xml:space="preserve"> копеек (НДС не облагается) (далее – «Задаток») на расчетный счет ООО «</w:t>
      </w:r>
      <w:r>
        <w:t>КОМПЛЕКТ</w:t>
      </w:r>
      <w:r>
        <w:t xml:space="preserve"> ПРО</w:t>
      </w:r>
      <w:r>
        <w:t>»</w:t>
      </w:r>
      <w:r>
        <w:rPr>
          <w:shd w:val="clear" w:color="auto" w:fill="FFFFFF"/>
        </w:rPr>
        <w:t>,</w:t>
      </w:r>
      <w:r>
        <w:t xml:space="preserve"> указанный в п. 1.1 Договора. Задаток обеспечивает обязательства Претендента, связанные с его участием в Торгах, в т.ч. обязательства по заключению договора уступки права требования задолженности (цессии) и его исполнению.</w:t>
      </w:r>
    </w:p>
    <w:p w14:paraId="7324B7A0" w14:textId="2567A64D" w:rsidR="00430307" w:rsidRPr="00430307" w:rsidRDefault="00430307" w:rsidP="00430307">
      <w:pPr>
        <w:ind w:firstLine="567"/>
        <w:jc w:val="both"/>
        <w:rPr>
          <w:b/>
          <w:bCs/>
          <w:i/>
          <w:iCs/>
          <w:sz w:val="22"/>
          <w:szCs w:val="22"/>
          <w:u w:val="single"/>
          <w:lang w:val="en-US"/>
        </w:rPr>
      </w:pPr>
      <w:r>
        <w:t xml:space="preserve">1.1. Реквизиты счета для перечисления задатка: </w:t>
      </w:r>
      <w:r>
        <w:t>п</w:t>
      </w:r>
      <w:r>
        <w:t>олучатель –</w:t>
      </w:r>
      <w:r w:rsidRPr="00430307">
        <w:rPr>
          <w:sz w:val="22"/>
          <w:szCs w:val="22"/>
        </w:rPr>
        <w:t xml:space="preserve"> </w:t>
      </w:r>
      <w:r w:rsidRPr="00DA2F20">
        <w:rPr>
          <w:sz w:val="22"/>
          <w:szCs w:val="22"/>
        </w:rPr>
        <w:t>ООО «КОМПЛЕКТ ПРО», счет № 40702810812020835130 в Филиал «Центральный» ПАО «СОВКОМБАНК», (ОГРН 1144400000425, ИНН 4401116480, КПП 770343003, адрес: 119991, Москва, ул. Вавилова, д. 24), БИК 044525360, к/с 30101810445250000360.</w:t>
      </w:r>
    </w:p>
    <w:p w14:paraId="2452D7D0" w14:textId="77777777" w:rsidR="00B01959" w:rsidRDefault="00430307">
      <w:pPr>
        <w:autoSpaceDE w:val="0"/>
        <w:ind w:firstLine="567"/>
        <w:jc w:val="both"/>
      </w:pPr>
      <w:r>
        <w:t>2. Задаток считается внесенным с даты поступления всей суммы Задатка на данный счет.</w:t>
      </w:r>
    </w:p>
    <w:p w14:paraId="192DFEC3" w14:textId="77777777" w:rsidR="00B01959" w:rsidRDefault="00430307">
      <w:pPr>
        <w:autoSpaceDE w:val="0"/>
        <w:ind w:firstLine="567"/>
        <w:jc w:val="both"/>
      </w:pPr>
      <w:r>
        <w:t>3. В случае, если сумма Задатка не зачислена на расчетный счет, указанный в п. 1.1 Договора, в срок, указанный в сообщении о торгах,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14:paraId="14933B29" w14:textId="77777777" w:rsidR="00B01959" w:rsidRDefault="00430307">
      <w:pPr>
        <w:autoSpaceDE w:val="0"/>
        <w:ind w:firstLine="567"/>
        <w:jc w:val="both"/>
      </w:pPr>
      <w:r>
        <w:t>4. С момента зачисления Задатка на расчетный счет, указанный в п. 1.1 Договора, Претендент не вправе требовать от Организатора Торгов возврата Задатка или его перечисления на иной счет, кроме как в указанных ниже случаях.</w:t>
      </w:r>
    </w:p>
    <w:p w14:paraId="6F514FD6" w14:textId="77777777" w:rsidR="00B01959" w:rsidRDefault="00430307">
      <w:pPr>
        <w:autoSpaceDE w:val="0"/>
        <w:ind w:firstLine="567"/>
        <w:jc w:val="both"/>
      </w:pPr>
      <w:r>
        <w:t>5. На денежные средства, перечисленные в соответствии с Договором, проценты не начисляются.</w:t>
      </w:r>
    </w:p>
    <w:p w14:paraId="1D70AA92" w14:textId="77777777" w:rsidR="00B01959" w:rsidRDefault="00430307">
      <w:pPr>
        <w:autoSpaceDE w:val="0"/>
        <w:ind w:firstLine="567"/>
        <w:jc w:val="both"/>
      </w:pPr>
      <w:r>
        <w:t>6. Исполнение обязанности по внесению Задатка третьими лицами не допускается.</w:t>
      </w:r>
    </w:p>
    <w:p w14:paraId="064C7730" w14:textId="77777777" w:rsidR="00B01959" w:rsidRDefault="00430307">
      <w:pPr>
        <w:autoSpaceDE w:val="0"/>
        <w:ind w:firstLine="567"/>
        <w:jc w:val="both"/>
      </w:pPr>
      <w:r>
        <w:t>7. Сроки возврата Задатка, внесенного Претендентом:</w:t>
      </w:r>
    </w:p>
    <w:p w14:paraId="3E851F3D" w14:textId="77777777" w:rsidR="00B01959" w:rsidRDefault="00430307">
      <w:pPr>
        <w:autoSpaceDE w:val="0"/>
        <w:ind w:firstLine="567"/>
        <w:jc w:val="both"/>
      </w:pPr>
      <w:r>
        <w:t>7.1. 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140C46D9" w14:textId="77777777" w:rsidR="00B01959" w:rsidRDefault="00430307">
      <w:pPr>
        <w:autoSpaceDE w:val="0"/>
        <w:ind w:firstLine="567"/>
        <w:jc w:val="both"/>
      </w:pPr>
      <w:r>
        <w:t>7.2. В случае если Претендент участвовал в Торгах и не признан победителем Торгов, Организатор Торгов обязуется возвратить сумму Задатка в течение 5 (пяти) рабочих дней со дня подписания Организатором Торгов протокола о результатах проведения Торгов.</w:t>
      </w:r>
    </w:p>
    <w:p w14:paraId="3606A496" w14:textId="77777777" w:rsidR="00B01959" w:rsidRDefault="00430307">
      <w:pPr>
        <w:autoSpaceDE w:val="0"/>
        <w:ind w:firstLine="567"/>
        <w:jc w:val="both"/>
      </w:pPr>
      <w:r>
        <w:t>7.3. 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37E4D959" w14:textId="77777777" w:rsidR="00B01959" w:rsidRDefault="00430307">
      <w:pPr>
        <w:autoSpaceDE w:val="0"/>
        <w:ind w:firstLine="567"/>
        <w:jc w:val="both"/>
      </w:pPr>
      <w:r>
        <w:lastRenderedPageBreak/>
        <w:t>7.4.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6172F06A" w14:textId="77777777" w:rsidR="00B01959" w:rsidRDefault="00430307">
      <w:pPr>
        <w:autoSpaceDE w:val="0"/>
        <w:ind w:firstLine="567"/>
        <w:jc w:val="both"/>
      </w:pPr>
      <w:r>
        <w:t>7.5. Внесенный Задаток не возвращается в случае, если Претендент, признанный победителем Торгов, уклонится или откажется от подписания протокола о результатах проведения Торгов, заключения или исполнения договора уступки права требования задолженности (цессии) в срок и порядке, которые предусмотрены Федеральным законом от 26.10.2002 № 127-ФЗ «О несостоятельности (банкротстве)».</w:t>
      </w:r>
    </w:p>
    <w:p w14:paraId="117DFE7C" w14:textId="77777777" w:rsidR="00B01959" w:rsidRDefault="00430307">
      <w:pPr>
        <w:autoSpaceDE w:val="0"/>
        <w:ind w:firstLine="567"/>
        <w:jc w:val="both"/>
      </w:pPr>
      <w:r>
        <w:t>7.6. В случае признания Претендента победителем Торгов сумма внесенного Задатка засчитывается в счет оплаты по договору уступки права требования задолженности (цессии) и подлежит перечислению Организатором торгов в течение 5 дней с момента подписания протокола о результатах Торгов ООО «</w:t>
      </w:r>
      <w:r>
        <w:t>КОМПЛЕКТ</w:t>
      </w:r>
      <w:r>
        <w:t xml:space="preserve"> ПРО</w:t>
      </w:r>
      <w:r>
        <w:t xml:space="preserve">» в соответствии с утвержденными условиями проведения торгов. </w:t>
      </w:r>
    </w:p>
    <w:p w14:paraId="299884B5" w14:textId="77777777" w:rsidR="00B01959" w:rsidRDefault="00430307">
      <w:pPr>
        <w:autoSpaceDE w:val="0"/>
        <w:ind w:firstLine="567"/>
        <w:jc w:val="both"/>
      </w:pPr>
      <w:r>
        <w:t>8. В случаях, предусмотренных Договором, Организатор Торгов возвращает Претенденту Задаток путем перечисления его суммы на расчетный счет Претендента, указанный в п. 12 Договора.</w:t>
      </w:r>
    </w:p>
    <w:p w14:paraId="5B27ED4B" w14:textId="77777777" w:rsidR="00B01959" w:rsidRDefault="00430307">
      <w:pPr>
        <w:autoSpaceDE w:val="0"/>
        <w:ind w:firstLine="567"/>
        <w:jc w:val="both"/>
      </w:pPr>
      <w:r>
        <w:t>9.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25C73269" w14:textId="77777777" w:rsidR="00B01959" w:rsidRDefault="00430307">
      <w:pPr>
        <w:autoSpaceDE w:val="0"/>
        <w:ind w:firstLine="567"/>
        <w:jc w:val="both"/>
      </w:pPr>
      <w:r>
        <w:t>10. Договор составлен в двух экземплярах, по одному для каждой из Сторон.</w:t>
      </w:r>
    </w:p>
    <w:p w14:paraId="65E5A9A7" w14:textId="77777777" w:rsidR="00B01959" w:rsidRDefault="00430307">
      <w:pPr>
        <w:autoSpaceDE w:val="0"/>
        <w:ind w:firstLine="567"/>
        <w:jc w:val="both"/>
      </w:pPr>
      <w:r>
        <w:t>11. Договор вступает в силу с момента его подписания Претендентом.</w:t>
      </w:r>
    </w:p>
    <w:p w14:paraId="36AA5EC2" w14:textId="77777777" w:rsidR="00B01959" w:rsidRDefault="00430307">
      <w:pPr>
        <w:autoSpaceDE w:val="0"/>
        <w:ind w:firstLine="567"/>
        <w:jc w:val="both"/>
      </w:pPr>
      <w:r>
        <w:t>12. Адреса, реквизиты и подписи Сторон:</w:t>
      </w:r>
    </w:p>
    <w:p w14:paraId="41021251" w14:textId="77777777" w:rsidR="00B01959" w:rsidRDefault="00B01959">
      <w:pPr>
        <w:ind w:firstLine="540"/>
        <w:jc w:val="both"/>
        <w:rPr>
          <w:b/>
        </w:rPr>
      </w:pPr>
    </w:p>
    <w:p w14:paraId="07857F1A" w14:textId="77777777" w:rsidR="00B01959" w:rsidRDefault="00B01959">
      <w:pPr>
        <w:ind w:firstLine="540"/>
        <w:jc w:val="both"/>
        <w:rPr>
          <w:b/>
        </w:rPr>
      </w:pPr>
    </w:p>
    <w:p w14:paraId="2769BB79" w14:textId="77777777" w:rsidR="00B01959" w:rsidRDefault="00B01959">
      <w:pPr>
        <w:ind w:firstLine="540"/>
        <w:jc w:val="both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68"/>
        <w:gridCol w:w="4860"/>
      </w:tblGrid>
      <w:tr w:rsidR="00B01959" w14:paraId="7E0C8BF8" w14:textId="77777777">
        <w:tc>
          <w:tcPr>
            <w:tcW w:w="4968" w:type="dxa"/>
            <w:shd w:val="clear" w:color="auto" w:fill="auto"/>
          </w:tcPr>
          <w:p w14:paraId="1E49DF2F" w14:textId="77777777" w:rsidR="00B01959" w:rsidRDefault="00430307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ОРГАНИЗАТОР ТОРГОВ</w:t>
            </w:r>
          </w:p>
          <w:p w14:paraId="1303D9D4" w14:textId="77777777" w:rsidR="00B01959" w:rsidRDefault="00B01959">
            <w:pPr>
              <w:jc w:val="both"/>
              <w:rPr>
                <w:b/>
              </w:rPr>
            </w:pPr>
          </w:p>
          <w:p w14:paraId="15C865FF" w14:textId="77777777" w:rsidR="00B01959" w:rsidRDefault="00430307">
            <w:pPr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Конкурсный управляющий</w:t>
            </w:r>
          </w:p>
          <w:p w14:paraId="43FDA228" w14:textId="77777777" w:rsidR="00B01959" w:rsidRDefault="00430307">
            <w:pPr>
              <w:rPr>
                <w:b/>
                <w:bCs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ООО «</w:t>
            </w:r>
            <w:r>
              <w:rPr>
                <w:b/>
                <w:shd w:val="clear" w:color="auto" w:fill="FFFFFF"/>
              </w:rPr>
              <w:t>КОМПЛЕКТ ПРО</w:t>
            </w:r>
            <w:r>
              <w:rPr>
                <w:b/>
                <w:shd w:val="clear" w:color="auto" w:fill="FFFFFF"/>
              </w:rPr>
              <w:t>»</w:t>
            </w:r>
          </w:p>
          <w:p w14:paraId="7442AD0C" w14:textId="77777777" w:rsidR="00B01959" w:rsidRDefault="00430307">
            <w:pPr>
              <w:jc w:val="both"/>
            </w:pPr>
            <w:proofErr w:type="spellStart"/>
            <w:r>
              <w:t>Гирчев</w:t>
            </w:r>
            <w:proofErr w:type="spellEnd"/>
            <w:r>
              <w:t xml:space="preserve"> Николай Николаевич, </w:t>
            </w:r>
          </w:p>
          <w:p w14:paraId="3CF5A15E" w14:textId="77777777" w:rsidR="00B01959" w:rsidRDefault="00430307">
            <w:pPr>
              <w:jc w:val="both"/>
            </w:pPr>
            <w:r>
              <w:t>ИНН 519054027118, СНИЛС 124-817-811 60,</w:t>
            </w:r>
          </w:p>
          <w:p w14:paraId="363C5E4D" w14:textId="77777777" w:rsidR="00B01959" w:rsidRDefault="00430307">
            <w:pPr>
              <w:jc w:val="both"/>
              <w:rPr>
                <w:shd w:val="clear" w:color="auto" w:fill="FFFFFF"/>
              </w:rPr>
            </w:pPr>
            <w:r>
              <w:t>адрес для направления корреспонденции КУ: 197350, Санкт-Петербург, а/я 26</w:t>
            </w:r>
          </w:p>
          <w:p w14:paraId="44FA90EE" w14:textId="77777777" w:rsidR="00B01959" w:rsidRDefault="00B01959">
            <w:pPr>
              <w:jc w:val="both"/>
            </w:pPr>
          </w:p>
          <w:p w14:paraId="211DB86C" w14:textId="3A20B42E" w:rsidR="00430307" w:rsidRPr="00430307" w:rsidRDefault="00430307">
            <w:pPr>
              <w:jc w:val="both"/>
              <w:rPr>
                <w:lang w:val="en-US"/>
              </w:rPr>
            </w:pPr>
            <w:r>
              <w:t>Реквизиты счета:</w:t>
            </w:r>
          </w:p>
          <w:p w14:paraId="449A9CCD" w14:textId="72B201F0" w:rsidR="00430307" w:rsidRPr="00430307" w:rsidRDefault="00430307">
            <w:pPr>
              <w:jc w:val="both"/>
              <w:rPr>
                <w:bCs/>
              </w:rPr>
            </w:pPr>
            <w:r w:rsidRPr="00430307">
              <w:rPr>
                <w:bCs/>
              </w:rPr>
              <w:t>Получатель – ООО «КОМПЛЕКТ ПРО», счет № 40702810812020835130 в Филиал «Центральный» ПАО «СОВКОМБАНК», (ОГРН 1144400000425, ИНН 4401116480, КПП 770343003, адрес: 119991, Москва, ул. Вавилова, д. 24), БИК 044525360, к/с 30101810445250000360.</w:t>
            </w:r>
          </w:p>
        </w:tc>
        <w:tc>
          <w:tcPr>
            <w:tcW w:w="4860" w:type="dxa"/>
            <w:shd w:val="clear" w:color="auto" w:fill="auto"/>
          </w:tcPr>
          <w:p w14:paraId="7A7E2FEC" w14:textId="77777777" w:rsidR="00B01959" w:rsidRDefault="00430307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ПРЕТЕНДЕНТ:</w:t>
            </w:r>
          </w:p>
          <w:p w14:paraId="56016D90" w14:textId="77777777" w:rsidR="00B01959" w:rsidRDefault="00B01959">
            <w:pPr>
              <w:jc w:val="both"/>
              <w:rPr>
                <w:b/>
              </w:rPr>
            </w:pPr>
          </w:p>
          <w:p w14:paraId="0FD51ED5" w14:textId="77777777" w:rsidR="00B01959" w:rsidRDefault="00B01959">
            <w:pPr>
              <w:rPr>
                <w:b/>
                <w:lang w:val="en-US"/>
              </w:rPr>
            </w:pPr>
          </w:p>
        </w:tc>
      </w:tr>
      <w:tr w:rsidR="00B01959" w14:paraId="120C8F04" w14:textId="77777777">
        <w:trPr>
          <w:trHeight w:val="671"/>
        </w:trPr>
        <w:tc>
          <w:tcPr>
            <w:tcW w:w="4968" w:type="dxa"/>
            <w:shd w:val="clear" w:color="auto" w:fill="auto"/>
          </w:tcPr>
          <w:p w14:paraId="4262AAF2" w14:textId="77777777" w:rsidR="00B01959" w:rsidRDefault="00430307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______________________________________ </w:t>
            </w:r>
          </w:p>
        </w:tc>
        <w:tc>
          <w:tcPr>
            <w:tcW w:w="4860" w:type="dxa"/>
            <w:shd w:val="clear" w:color="auto" w:fill="auto"/>
          </w:tcPr>
          <w:p w14:paraId="5E44D782" w14:textId="77777777" w:rsidR="00B01959" w:rsidRDefault="00430307">
            <w:pPr>
              <w:jc w:val="both"/>
            </w:pPr>
            <w:r>
              <w:rPr>
                <w:color w:val="auto"/>
              </w:rPr>
              <w:t>______________________________________</w:t>
            </w:r>
          </w:p>
        </w:tc>
      </w:tr>
    </w:tbl>
    <w:p w14:paraId="06D73871" w14:textId="77777777" w:rsidR="00B01959" w:rsidRDefault="00B01959"/>
    <w:sectPr w:rsidR="00B01959">
      <w:footerReference w:type="default" r:id="rId7"/>
      <w:pgSz w:w="11906" w:h="16838"/>
      <w:pgMar w:top="567" w:right="851" w:bottom="709" w:left="1418" w:header="720" w:footer="4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49732" w14:textId="77777777" w:rsidR="00B01959" w:rsidRDefault="00430307">
      <w:r>
        <w:separator/>
      </w:r>
    </w:p>
  </w:endnote>
  <w:endnote w:type="continuationSeparator" w:id="0">
    <w:p w14:paraId="3D5BD91A" w14:textId="77777777" w:rsidR="00B01959" w:rsidRDefault="0043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E5794" w14:textId="77777777" w:rsidR="00B01959" w:rsidRDefault="00430307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F9CDFF" wp14:editId="1560610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180"/>
              <wp:effectExtent l="3810" t="635" r="635" b="63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D76A4D4" w14:textId="77777777" w:rsidR="00B01959" w:rsidRDefault="00430307">
                          <w:pPr>
                            <w:pStyle w:val="a6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Надпись 1" o:spid="_x0000_s1026" o:spt="202" type="#_x0000_t202" style="position:absolute;left:0pt;margin-top:0.05pt;height:13.4pt;width:5.65pt;mso-position-horizontal:center;mso-position-horizontal-relative:margin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aIt9U0QAAAAMBAAAPAAAAAAAAAAEAIAAAACIAAABkcnMvZG93bnJldi54bWxQSwECFAAU&#10;AAAACACHTuJAMssbyDECAABOBAAADgAAAAAAAAABACAAAAAgAQAAZHJzL2Uyb0RvYy54bWxQSwUG&#10;AAAAAAYABgBZAQAAwwUAAAAA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 w14:paraId="4FABAD21">
                    <w:pPr>
                      <w:pStyle w:val="6"/>
                    </w:pPr>
                    <w:r>
                      <w:rPr>
                        <w:rStyle w:val="4"/>
                      </w:rPr>
                      <w:fldChar w:fldCharType="begin"/>
                    </w:r>
                    <w:r>
                      <w:rPr>
                        <w:rStyle w:val="4"/>
                      </w:rPr>
                      <w:instrText xml:space="preserve"> PAGE </w:instrText>
                    </w:r>
                    <w:r>
                      <w:rPr>
                        <w:rStyle w:val="4"/>
                      </w:rPr>
                      <w:fldChar w:fldCharType="separate"/>
                    </w:r>
                    <w:r>
                      <w:rPr>
                        <w:rStyle w:val="4"/>
                      </w:rPr>
                      <w:t>2</w:t>
                    </w:r>
                    <w:r>
                      <w:rPr>
                        <w:rStyle w:val="4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917AC" w14:textId="77777777" w:rsidR="00B01959" w:rsidRDefault="00430307">
      <w:r>
        <w:separator/>
      </w:r>
    </w:p>
  </w:footnote>
  <w:footnote w:type="continuationSeparator" w:id="0">
    <w:p w14:paraId="7EB42119" w14:textId="77777777" w:rsidR="00B01959" w:rsidRDefault="00430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EFA"/>
    <w:rsid w:val="0004369D"/>
    <w:rsid w:val="00320164"/>
    <w:rsid w:val="00320FA2"/>
    <w:rsid w:val="00331E0F"/>
    <w:rsid w:val="00366436"/>
    <w:rsid w:val="00430307"/>
    <w:rsid w:val="004C1C45"/>
    <w:rsid w:val="004E50B0"/>
    <w:rsid w:val="00557BEB"/>
    <w:rsid w:val="0069145E"/>
    <w:rsid w:val="00724EFA"/>
    <w:rsid w:val="007A55D5"/>
    <w:rsid w:val="007B3AED"/>
    <w:rsid w:val="0081231A"/>
    <w:rsid w:val="009156DA"/>
    <w:rsid w:val="00B01959"/>
    <w:rsid w:val="00B86B0C"/>
    <w:rsid w:val="00BF71E5"/>
    <w:rsid w:val="00D52FD3"/>
    <w:rsid w:val="00D9741B"/>
    <w:rsid w:val="00E27708"/>
    <w:rsid w:val="00F75262"/>
    <w:rsid w:val="00FD7191"/>
    <w:rsid w:val="0338247D"/>
    <w:rsid w:val="1E6366E9"/>
    <w:rsid w:val="531875F1"/>
    <w:rsid w:val="677B2AD6"/>
    <w:rsid w:val="69C6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7B179"/>
  <w15:docId w15:val="{B2BCB91B-EE3C-4314-8A32-358FE4FA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qFormat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qFormat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qFormat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876</Words>
  <Characters>4995</Characters>
  <Application>Microsoft Office Word</Application>
  <DocSecurity>0</DocSecurity>
  <Lines>41</Lines>
  <Paragraphs>11</Paragraphs>
  <ScaleCrop>false</ScaleCrop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Орс</dc:creator>
  <cp:lastModifiedBy>1</cp:lastModifiedBy>
  <cp:revision>78</cp:revision>
  <dcterms:created xsi:type="dcterms:W3CDTF">2024-09-10T16:36:00Z</dcterms:created>
  <dcterms:modified xsi:type="dcterms:W3CDTF">2026-07-13T15:55:00Z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eyJoZGlkIjoiYTE5ZjQ4YWEzY2VkOGQ4YzBiZTEwNjYyOWVkNGRiNjMifQ==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12A3AA0BC58E4DE4B6D0166A0C5026E8_12</vt:lpwstr>
  </property>
</Properties>
</file>